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193" w:rsidRDefault="00523193" w:rsidP="00DB0BC9">
      <w:pPr>
        <w:autoSpaceDE w:val="0"/>
        <w:autoSpaceDN w:val="0"/>
        <w:adjustRightInd w:val="0"/>
        <w:spacing w:line="360" w:lineRule="auto"/>
        <w:jc w:val="both"/>
        <w:rPr>
          <w:rFonts w:ascii="Arial" w:hAnsi="Arial" w:cs="Arial"/>
          <w:b/>
          <w:bCs/>
          <w:sz w:val="22"/>
          <w:szCs w:val="22"/>
        </w:rPr>
      </w:pPr>
    </w:p>
    <w:p w:rsidR="00DB0BC9" w:rsidRDefault="00DB0BC9" w:rsidP="00DB0BC9">
      <w:pPr>
        <w:autoSpaceDE w:val="0"/>
        <w:autoSpaceDN w:val="0"/>
        <w:adjustRightInd w:val="0"/>
        <w:spacing w:line="360" w:lineRule="auto"/>
        <w:jc w:val="both"/>
        <w:rPr>
          <w:rFonts w:ascii="Arial" w:hAnsi="Arial" w:cs="Arial"/>
          <w:b/>
          <w:bCs/>
          <w:sz w:val="22"/>
          <w:szCs w:val="22"/>
        </w:rPr>
      </w:pPr>
      <w:r>
        <w:rPr>
          <w:rFonts w:ascii="Arial" w:hAnsi="Arial" w:cs="Arial"/>
          <w:b/>
          <w:bCs/>
          <w:sz w:val="22"/>
          <w:szCs w:val="22"/>
        </w:rPr>
        <w:t xml:space="preserve">CONSULTA PÚBLICA PREVIA A LA ELABORACIÓN DE LA ORDEN POR LA QUE SE </w:t>
      </w:r>
      <w:r w:rsidR="00BE15C5">
        <w:rPr>
          <w:rFonts w:ascii="Arial" w:hAnsi="Arial" w:cs="Arial"/>
          <w:b/>
          <w:bCs/>
          <w:sz w:val="22"/>
          <w:szCs w:val="22"/>
        </w:rPr>
        <w:t>REGULAN</w:t>
      </w:r>
      <w:r>
        <w:rPr>
          <w:rFonts w:ascii="Arial" w:hAnsi="Arial" w:cs="Arial"/>
          <w:b/>
          <w:bCs/>
          <w:sz w:val="22"/>
          <w:szCs w:val="22"/>
        </w:rPr>
        <w:t xml:space="preserve"> LAS INSTALACIONES DE COMPOSTAJE DE CERCANÍA</w:t>
      </w:r>
    </w:p>
    <w:p w:rsidR="00DB0BC9" w:rsidRDefault="00DB0BC9" w:rsidP="00F76AE9">
      <w:pPr>
        <w:autoSpaceDE w:val="0"/>
        <w:autoSpaceDN w:val="0"/>
        <w:adjustRightInd w:val="0"/>
        <w:spacing w:line="276" w:lineRule="auto"/>
        <w:jc w:val="both"/>
        <w:rPr>
          <w:rFonts w:ascii="Arial" w:hAnsi="Arial" w:cs="Arial"/>
          <w:sz w:val="22"/>
          <w:szCs w:val="22"/>
        </w:rPr>
      </w:pPr>
    </w:p>
    <w:p w:rsidR="00DB0BC9" w:rsidRDefault="00DB0BC9" w:rsidP="00F76AE9">
      <w:p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El Departamento de Medio Ambiente, Planificación Territorial y Vivienda del Gobierno Vasco tiene previsto iniciar la elaboración del Proyecto de Orden por la que se </w:t>
      </w:r>
      <w:r w:rsidR="00BE15C5">
        <w:rPr>
          <w:rFonts w:ascii="Arial" w:hAnsi="Arial" w:cs="Arial"/>
          <w:sz w:val="22"/>
          <w:szCs w:val="22"/>
        </w:rPr>
        <w:t>regulan</w:t>
      </w:r>
      <w:r>
        <w:rPr>
          <w:rFonts w:ascii="Arial" w:hAnsi="Arial" w:cs="Arial"/>
          <w:sz w:val="22"/>
          <w:szCs w:val="22"/>
        </w:rPr>
        <w:t xml:space="preserve"> las instalaciones de compostaje de cercanía.</w:t>
      </w:r>
    </w:p>
    <w:p w:rsidR="00DB0BC9" w:rsidRDefault="00DB0BC9" w:rsidP="00F76AE9">
      <w:pPr>
        <w:autoSpaceDE w:val="0"/>
        <w:autoSpaceDN w:val="0"/>
        <w:adjustRightInd w:val="0"/>
        <w:spacing w:line="276" w:lineRule="auto"/>
        <w:jc w:val="both"/>
        <w:rPr>
          <w:rFonts w:ascii="Arial" w:hAnsi="Arial" w:cs="Arial"/>
          <w:sz w:val="22"/>
          <w:szCs w:val="22"/>
        </w:rPr>
      </w:pPr>
    </w:p>
    <w:p w:rsidR="00DB0BC9" w:rsidRDefault="00DB0BC9" w:rsidP="00F76AE9">
      <w:pPr>
        <w:autoSpaceDE w:val="0"/>
        <w:autoSpaceDN w:val="0"/>
        <w:adjustRightInd w:val="0"/>
        <w:spacing w:line="276" w:lineRule="auto"/>
        <w:jc w:val="both"/>
        <w:rPr>
          <w:rFonts w:ascii="Arial" w:hAnsi="Arial" w:cs="Arial"/>
          <w:sz w:val="22"/>
          <w:szCs w:val="22"/>
        </w:rPr>
      </w:pPr>
      <w:r>
        <w:rPr>
          <w:rFonts w:ascii="Arial" w:hAnsi="Arial" w:cs="Arial"/>
          <w:sz w:val="22"/>
          <w:szCs w:val="22"/>
        </w:rPr>
        <w:t>De conformidad con lo establecido en el apartado 1 del artículo 133 de la Ley 39/2015, de 1 de octubre, del Procedimiento Administrativo Común de las Administraciones Públicas, con carácter previo a la elaboración del proyecto o anteproyecto de ley o de reglamento, se sustanciará una consulta pública, a través del portal web de la Administración competente en la que se recabará la opinión de los sujetos y de las organizaciones más representativas potencialmente afectados por la futura norma acerca de:</w:t>
      </w:r>
    </w:p>
    <w:p w:rsidR="00DB0BC9" w:rsidRDefault="00DB0BC9" w:rsidP="00F76AE9">
      <w:pPr>
        <w:autoSpaceDE w:val="0"/>
        <w:autoSpaceDN w:val="0"/>
        <w:adjustRightInd w:val="0"/>
        <w:spacing w:line="276" w:lineRule="auto"/>
        <w:jc w:val="both"/>
        <w:rPr>
          <w:rFonts w:ascii="Arial" w:hAnsi="Arial" w:cs="Arial"/>
          <w:sz w:val="22"/>
          <w:szCs w:val="22"/>
        </w:rPr>
      </w:pPr>
    </w:p>
    <w:p w:rsidR="00DB0BC9" w:rsidRDefault="00DB0BC9" w:rsidP="00F76AE9">
      <w:pPr>
        <w:autoSpaceDE w:val="0"/>
        <w:autoSpaceDN w:val="0"/>
        <w:adjustRightInd w:val="0"/>
        <w:spacing w:line="276" w:lineRule="auto"/>
        <w:ind w:left="708"/>
        <w:jc w:val="both"/>
        <w:rPr>
          <w:rFonts w:ascii="Arial" w:hAnsi="Arial" w:cs="Arial"/>
          <w:sz w:val="22"/>
          <w:szCs w:val="22"/>
        </w:rPr>
      </w:pPr>
      <w:r>
        <w:rPr>
          <w:rFonts w:ascii="Arial" w:hAnsi="Arial" w:cs="Arial"/>
          <w:sz w:val="22"/>
          <w:szCs w:val="22"/>
        </w:rPr>
        <w:t>a) Los problemas que se pretenden solucionar con la iniciativa.</w:t>
      </w:r>
    </w:p>
    <w:p w:rsidR="00DB0BC9" w:rsidRDefault="00DB0BC9" w:rsidP="00F76AE9">
      <w:pPr>
        <w:autoSpaceDE w:val="0"/>
        <w:autoSpaceDN w:val="0"/>
        <w:adjustRightInd w:val="0"/>
        <w:spacing w:line="276" w:lineRule="auto"/>
        <w:ind w:left="708"/>
        <w:jc w:val="both"/>
        <w:rPr>
          <w:rFonts w:ascii="Arial" w:hAnsi="Arial" w:cs="Arial"/>
          <w:sz w:val="22"/>
          <w:szCs w:val="22"/>
        </w:rPr>
      </w:pPr>
      <w:r>
        <w:rPr>
          <w:rFonts w:ascii="Arial" w:hAnsi="Arial" w:cs="Arial"/>
          <w:sz w:val="22"/>
          <w:szCs w:val="22"/>
        </w:rPr>
        <w:t>b) La necesidad y oportunidad de su aprobación.</w:t>
      </w:r>
    </w:p>
    <w:p w:rsidR="00DB0BC9" w:rsidRDefault="00DB0BC9" w:rsidP="00F76AE9">
      <w:pPr>
        <w:autoSpaceDE w:val="0"/>
        <w:autoSpaceDN w:val="0"/>
        <w:adjustRightInd w:val="0"/>
        <w:spacing w:line="276" w:lineRule="auto"/>
        <w:ind w:left="708"/>
        <w:jc w:val="both"/>
        <w:rPr>
          <w:rFonts w:ascii="Arial" w:hAnsi="Arial" w:cs="Arial"/>
          <w:sz w:val="22"/>
          <w:szCs w:val="22"/>
        </w:rPr>
      </w:pPr>
      <w:r>
        <w:rPr>
          <w:rFonts w:ascii="Arial" w:hAnsi="Arial" w:cs="Arial"/>
          <w:sz w:val="22"/>
          <w:szCs w:val="22"/>
        </w:rPr>
        <w:t>c) Los objetivos de la norma.</w:t>
      </w:r>
    </w:p>
    <w:p w:rsidR="00DB0BC9" w:rsidRDefault="00DB0BC9" w:rsidP="00F76AE9">
      <w:pPr>
        <w:autoSpaceDE w:val="0"/>
        <w:autoSpaceDN w:val="0"/>
        <w:adjustRightInd w:val="0"/>
        <w:spacing w:line="276" w:lineRule="auto"/>
        <w:ind w:left="708"/>
        <w:jc w:val="both"/>
        <w:rPr>
          <w:rFonts w:ascii="Arial" w:hAnsi="Arial" w:cs="Arial"/>
          <w:sz w:val="22"/>
          <w:szCs w:val="22"/>
        </w:rPr>
      </w:pPr>
      <w:r>
        <w:rPr>
          <w:rFonts w:ascii="Arial" w:hAnsi="Arial" w:cs="Arial"/>
          <w:sz w:val="22"/>
          <w:szCs w:val="22"/>
        </w:rPr>
        <w:t>d) Las posibles soluciones alternativas regulatorias y no regulatorias.</w:t>
      </w:r>
    </w:p>
    <w:p w:rsidR="00DB0BC9" w:rsidRDefault="00DB0BC9" w:rsidP="00F76AE9">
      <w:pPr>
        <w:autoSpaceDE w:val="0"/>
        <w:autoSpaceDN w:val="0"/>
        <w:adjustRightInd w:val="0"/>
        <w:spacing w:line="276" w:lineRule="auto"/>
        <w:jc w:val="both"/>
        <w:rPr>
          <w:rFonts w:ascii="Arial" w:hAnsi="Arial" w:cs="Arial"/>
          <w:sz w:val="22"/>
          <w:szCs w:val="22"/>
        </w:rPr>
      </w:pPr>
    </w:p>
    <w:p w:rsidR="002F2942" w:rsidRDefault="00DB0BC9" w:rsidP="00F76AE9">
      <w:p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En cumplimiento de lo anterior, y con carácter previo a su elaboración se plantean las </w:t>
      </w:r>
      <w:r w:rsidR="003A404C">
        <w:rPr>
          <w:rFonts w:ascii="Arial" w:hAnsi="Arial" w:cs="Arial"/>
          <w:sz w:val="22"/>
          <w:szCs w:val="22"/>
        </w:rPr>
        <w:t>citadas cuestiones:</w:t>
      </w:r>
    </w:p>
    <w:p w:rsidR="00DB0BC9" w:rsidRDefault="00DB0BC9" w:rsidP="00DB0BC9">
      <w:pPr>
        <w:autoSpaceDE w:val="0"/>
        <w:autoSpaceDN w:val="0"/>
        <w:adjustRightInd w:val="0"/>
        <w:spacing w:line="360" w:lineRule="auto"/>
        <w:jc w:val="both"/>
        <w:rPr>
          <w:rFonts w:ascii="Arial" w:hAnsi="Arial" w:cs="Arial"/>
          <w:sz w:val="22"/>
          <w:szCs w:val="22"/>
        </w:rPr>
      </w:pPr>
    </w:p>
    <w:tbl>
      <w:tblPr>
        <w:tblStyle w:val="Tablaconcuadrcula"/>
        <w:tblW w:w="0" w:type="auto"/>
        <w:tblLook w:val="04A0" w:firstRow="1" w:lastRow="0" w:firstColumn="1" w:lastColumn="0" w:noHBand="0" w:noVBand="1"/>
      </w:tblPr>
      <w:tblGrid>
        <w:gridCol w:w="2660"/>
        <w:gridCol w:w="5985"/>
      </w:tblGrid>
      <w:tr w:rsidR="00DB0BC9" w:rsidTr="003A404C">
        <w:tc>
          <w:tcPr>
            <w:tcW w:w="2660" w:type="dxa"/>
          </w:tcPr>
          <w:p w:rsidR="003A404C" w:rsidRDefault="003A404C" w:rsidP="00DB0BC9">
            <w:pPr>
              <w:autoSpaceDE w:val="0"/>
              <w:autoSpaceDN w:val="0"/>
              <w:adjustRightInd w:val="0"/>
              <w:jc w:val="both"/>
              <w:rPr>
                <w:rFonts w:ascii="Arial" w:hAnsi="Arial" w:cs="Arial"/>
                <w:b/>
                <w:bCs/>
                <w:color w:val="00003A"/>
                <w:sz w:val="22"/>
                <w:szCs w:val="22"/>
              </w:rPr>
            </w:pPr>
          </w:p>
          <w:p w:rsidR="002F3F41" w:rsidRDefault="002F3F41" w:rsidP="00DB0BC9">
            <w:pPr>
              <w:autoSpaceDE w:val="0"/>
              <w:autoSpaceDN w:val="0"/>
              <w:adjustRightInd w:val="0"/>
              <w:jc w:val="both"/>
              <w:rPr>
                <w:rFonts w:ascii="Arial" w:hAnsi="Arial" w:cs="Arial"/>
                <w:b/>
                <w:bCs/>
                <w:color w:val="00003A"/>
                <w:sz w:val="22"/>
                <w:szCs w:val="22"/>
              </w:rPr>
            </w:pPr>
          </w:p>
          <w:p w:rsidR="00DB0BC9" w:rsidRPr="00DB0BC9" w:rsidRDefault="00DB0BC9" w:rsidP="00DB0BC9">
            <w:pPr>
              <w:autoSpaceDE w:val="0"/>
              <w:autoSpaceDN w:val="0"/>
              <w:adjustRightInd w:val="0"/>
              <w:jc w:val="both"/>
              <w:rPr>
                <w:rFonts w:ascii="Arial" w:hAnsi="Arial" w:cs="Arial"/>
                <w:b/>
                <w:sz w:val="22"/>
                <w:szCs w:val="22"/>
              </w:rPr>
            </w:pPr>
            <w:r>
              <w:rPr>
                <w:rFonts w:ascii="Arial" w:hAnsi="Arial" w:cs="Arial"/>
                <w:b/>
                <w:bCs/>
                <w:color w:val="00003A"/>
                <w:sz w:val="22"/>
                <w:szCs w:val="22"/>
              </w:rPr>
              <w:t xml:space="preserve">LOS PROBLEMAS QUE SE PRETENDEN SOLUCIONAR CON LA </w:t>
            </w:r>
            <w:r w:rsidRPr="00DB0BC9">
              <w:rPr>
                <w:rFonts w:ascii="Arial" w:hAnsi="Arial" w:cs="Arial"/>
                <w:b/>
                <w:bCs/>
                <w:color w:val="00003A"/>
                <w:sz w:val="22"/>
                <w:szCs w:val="22"/>
              </w:rPr>
              <w:t>INICIATIVA</w:t>
            </w:r>
          </w:p>
        </w:tc>
        <w:tc>
          <w:tcPr>
            <w:tcW w:w="5985" w:type="dxa"/>
          </w:tcPr>
          <w:p w:rsidR="002F3F41" w:rsidRDefault="002F3F41" w:rsidP="003A404C">
            <w:pPr>
              <w:autoSpaceDE w:val="0"/>
              <w:autoSpaceDN w:val="0"/>
              <w:adjustRightInd w:val="0"/>
              <w:jc w:val="both"/>
              <w:rPr>
                <w:rFonts w:ascii="Arial" w:hAnsi="Arial" w:cs="Arial"/>
                <w:sz w:val="22"/>
                <w:szCs w:val="22"/>
              </w:rPr>
            </w:pPr>
          </w:p>
          <w:p w:rsidR="00F76AE9" w:rsidRPr="003A404C" w:rsidRDefault="00F76AE9" w:rsidP="003A404C">
            <w:pPr>
              <w:autoSpaceDE w:val="0"/>
              <w:autoSpaceDN w:val="0"/>
              <w:adjustRightInd w:val="0"/>
              <w:jc w:val="both"/>
              <w:rPr>
                <w:rFonts w:ascii="Arial" w:hAnsi="Arial" w:cs="Arial"/>
                <w:sz w:val="22"/>
                <w:szCs w:val="22"/>
              </w:rPr>
            </w:pPr>
            <w:r>
              <w:rPr>
                <w:rFonts w:ascii="Arial" w:hAnsi="Arial" w:cs="Arial"/>
                <w:sz w:val="22"/>
                <w:szCs w:val="22"/>
              </w:rPr>
              <w:t>Actualmente compostaje doméstico y compostaje comunitario son dos conceptos pacíficos pero carentes de carta de naturaleza que permita dotar de la seguridad que aporta un régimen jurídico propio que los recoja como actuaciones de prevención en sentido amplio diferenciándolo de las instalaciones de compostaje centralizado</w:t>
            </w:r>
            <w:r w:rsidR="00523193">
              <w:rPr>
                <w:rFonts w:ascii="Arial" w:hAnsi="Arial" w:cs="Arial"/>
                <w:sz w:val="22"/>
                <w:szCs w:val="22"/>
              </w:rPr>
              <w:t>.</w:t>
            </w:r>
          </w:p>
        </w:tc>
      </w:tr>
      <w:tr w:rsidR="00DB0BC9" w:rsidTr="003A404C">
        <w:tc>
          <w:tcPr>
            <w:tcW w:w="2660" w:type="dxa"/>
          </w:tcPr>
          <w:p w:rsidR="00F76AE9" w:rsidRDefault="00F76AE9" w:rsidP="00DB0BC9">
            <w:pPr>
              <w:autoSpaceDE w:val="0"/>
              <w:autoSpaceDN w:val="0"/>
              <w:adjustRightInd w:val="0"/>
              <w:rPr>
                <w:rFonts w:ascii="Arial" w:hAnsi="Arial" w:cs="Arial"/>
                <w:b/>
                <w:bCs/>
                <w:color w:val="00003A"/>
                <w:sz w:val="22"/>
                <w:szCs w:val="22"/>
              </w:rPr>
            </w:pPr>
          </w:p>
          <w:p w:rsidR="006B1A61" w:rsidRDefault="006B1A61" w:rsidP="00DB0BC9">
            <w:pPr>
              <w:autoSpaceDE w:val="0"/>
              <w:autoSpaceDN w:val="0"/>
              <w:adjustRightInd w:val="0"/>
              <w:rPr>
                <w:rFonts w:ascii="Arial" w:hAnsi="Arial" w:cs="Arial"/>
                <w:b/>
                <w:bCs/>
                <w:color w:val="00003A"/>
                <w:sz w:val="22"/>
                <w:szCs w:val="22"/>
              </w:rPr>
            </w:pPr>
          </w:p>
          <w:p w:rsidR="006B1A61" w:rsidRDefault="006B1A61" w:rsidP="00DB0BC9">
            <w:pPr>
              <w:autoSpaceDE w:val="0"/>
              <w:autoSpaceDN w:val="0"/>
              <w:adjustRightInd w:val="0"/>
              <w:rPr>
                <w:rFonts w:ascii="Arial" w:hAnsi="Arial" w:cs="Arial"/>
                <w:b/>
                <w:bCs/>
                <w:color w:val="00003A"/>
                <w:sz w:val="22"/>
                <w:szCs w:val="22"/>
              </w:rPr>
            </w:pPr>
          </w:p>
          <w:p w:rsidR="006B1A61" w:rsidRDefault="006B1A61" w:rsidP="00DB0BC9">
            <w:pPr>
              <w:autoSpaceDE w:val="0"/>
              <w:autoSpaceDN w:val="0"/>
              <w:adjustRightInd w:val="0"/>
              <w:rPr>
                <w:rFonts w:ascii="Arial" w:hAnsi="Arial" w:cs="Arial"/>
                <w:b/>
                <w:bCs/>
                <w:color w:val="00003A"/>
                <w:sz w:val="22"/>
                <w:szCs w:val="22"/>
              </w:rPr>
            </w:pPr>
          </w:p>
          <w:p w:rsidR="00F76AE9" w:rsidRDefault="00F76AE9" w:rsidP="00DB0BC9">
            <w:pPr>
              <w:autoSpaceDE w:val="0"/>
              <w:autoSpaceDN w:val="0"/>
              <w:adjustRightInd w:val="0"/>
              <w:rPr>
                <w:rFonts w:ascii="Arial" w:hAnsi="Arial" w:cs="Arial"/>
                <w:b/>
                <w:bCs/>
                <w:color w:val="00003A"/>
                <w:sz w:val="22"/>
                <w:szCs w:val="22"/>
              </w:rPr>
            </w:pPr>
          </w:p>
          <w:p w:rsidR="00F76AE9" w:rsidRDefault="00F76AE9" w:rsidP="00DB0BC9">
            <w:pPr>
              <w:autoSpaceDE w:val="0"/>
              <w:autoSpaceDN w:val="0"/>
              <w:adjustRightInd w:val="0"/>
              <w:rPr>
                <w:rFonts w:ascii="Arial" w:hAnsi="Arial" w:cs="Arial"/>
                <w:b/>
                <w:bCs/>
                <w:color w:val="00003A"/>
                <w:sz w:val="22"/>
                <w:szCs w:val="22"/>
              </w:rPr>
            </w:pPr>
          </w:p>
          <w:p w:rsidR="00F76AE9" w:rsidRDefault="00F76AE9" w:rsidP="00DB0BC9">
            <w:pPr>
              <w:autoSpaceDE w:val="0"/>
              <w:autoSpaceDN w:val="0"/>
              <w:adjustRightInd w:val="0"/>
              <w:rPr>
                <w:rFonts w:ascii="Arial" w:hAnsi="Arial" w:cs="Arial"/>
                <w:b/>
                <w:bCs/>
                <w:color w:val="00003A"/>
                <w:sz w:val="22"/>
                <w:szCs w:val="22"/>
              </w:rPr>
            </w:pPr>
          </w:p>
          <w:p w:rsidR="00523193" w:rsidRDefault="00523193" w:rsidP="00DB0BC9">
            <w:pPr>
              <w:autoSpaceDE w:val="0"/>
              <w:autoSpaceDN w:val="0"/>
              <w:adjustRightInd w:val="0"/>
              <w:rPr>
                <w:rFonts w:ascii="Arial" w:hAnsi="Arial" w:cs="Arial"/>
                <w:b/>
                <w:bCs/>
                <w:color w:val="00003A"/>
                <w:sz w:val="22"/>
                <w:szCs w:val="22"/>
              </w:rPr>
            </w:pPr>
          </w:p>
          <w:p w:rsidR="00DB0BC9" w:rsidRPr="00DB0BC9" w:rsidRDefault="00DB0BC9" w:rsidP="00DB0BC9">
            <w:pPr>
              <w:autoSpaceDE w:val="0"/>
              <w:autoSpaceDN w:val="0"/>
              <w:adjustRightInd w:val="0"/>
              <w:rPr>
                <w:rFonts w:ascii="Arial" w:hAnsi="Arial" w:cs="Arial"/>
                <w:b/>
                <w:bCs/>
                <w:color w:val="00003A"/>
                <w:sz w:val="22"/>
                <w:szCs w:val="22"/>
              </w:rPr>
            </w:pPr>
            <w:r>
              <w:rPr>
                <w:rFonts w:ascii="Arial" w:hAnsi="Arial" w:cs="Arial"/>
                <w:b/>
                <w:bCs/>
                <w:color w:val="00003A"/>
                <w:sz w:val="22"/>
                <w:szCs w:val="22"/>
              </w:rPr>
              <w:t>LA NECESIDAD Y OPORTUNIDAD DE SU APROBACIÓN</w:t>
            </w:r>
          </w:p>
        </w:tc>
        <w:tc>
          <w:tcPr>
            <w:tcW w:w="5985" w:type="dxa"/>
          </w:tcPr>
          <w:p w:rsidR="00212ACB" w:rsidRDefault="00212ACB" w:rsidP="00523193">
            <w:pPr>
              <w:autoSpaceDE w:val="0"/>
              <w:autoSpaceDN w:val="0"/>
              <w:adjustRightInd w:val="0"/>
              <w:jc w:val="both"/>
              <w:rPr>
                <w:rFonts w:ascii="Arial" w:hAnsi="Arial" w:cs="Arial"/>
                <w:bCs/>
                <w:color w:val="00003A"/>
                <w:sz w:val="22"/>
                <w:szCs w:val="22"/>
              </w:rPr>
            </w:pPr>
          </w:p>
          <w:p w:rsidR="00DB0BC9" w:rsidRPr="00212ACB" w:rsidRDefault="00212ACB" w:rsidP="006B1A61">
            <w:pPr>
              <w:autoSpaceDE w:val="0"/>
              <w:autoSpaceDN w:val="0"/>
              <w:adjustRightInd w:val="0"/>
              <w:jc w:val="both"/>
              <w:rPr>
                <w:rFonts w:ascii="Arial" w:hAnsi="Arial" w:cs="Arial"/>
                <w:bCs/>
                <w:color w:val="00003A"/>
                <w:sz w:val="22"/>
                <w:szCs w:val="22"/>
              </w:rPr>
            </w:pPr>
            <w:r>
              <w:rPr>
                <w:rFonts w:ascii="Arial" w:hAnsi="Arial" w:cs="Arial"/>
                <w:bCs/>
                <w:color w:val="00003A"/>
                <w:sz w:val="22"/>
                <w:szCs w:val="22"/>
              </w:rPr>
              <w:t xml:space="preserve">La Directiva 2008/98/CE establece que los Estados miembros han de adoptar medidas para impulsar </w:t>
            </w:r>
            <w:r w:rsidRPr="00212ACB">
              <w:rPr>
                <w:rFonts w:ascii="Arial" w:hAnsi="Arial" w:cs="Arial"/>
                <w:bCs/>
                <w:color w:val="00003A"/>
                <w:sz w:val="22"/>
                <w:szCs w:val="22"/>
              </w:rPr>
              <w:t xml:space="preserve">la recogida separada de </w:t>
            </w:r>
            <w:proofErr w:type="spellStart"/>
            <w:r w:rsidRPr="00212ACB">
              <w:rPr>
                <w:rFonts w:ascii="Arial" w:hAnsi="Arial" w:cs="Arial"/>
                <w:bCs/>
                <w:color w:val="00003A"/>
                <w:sz w:val="22"/>
                <w:szCs w:val="22"/>
              </w:rPr>
              <w:t>biorresiduos</w:t>
            </w:r>
            <w:proofErr w:type="spellEnd"/>
            <w:r w:rsidRPr="00212ACB">
              <w:rPr>
                <w:rFonts w:ascii="Arial" w:hAnsi="Arial" w:cs="Arial"/>
                <w:bCs/>
                <w:color w:val="00003A"/>
                <w:sz w:val="22"/>
                <w:szCs w:val="22"/>
              </w:rPr>
              <w:t xml:space="preserve"> con vistas al composta</w:t>
            </w:r>
            <w:r>
              <w:rPr>
                <w:rFonts w:ascii="Arial" w:hAnsi="Arial" w:cs="Arial"/>
                <w:bCs/>
                <w:color w:val="00003A"/>
                <w:sz w:val="22"/>
                <w:szCs w:val="22"/>
              </w:rPr>
              <w:t xml:space="preserve">je y la digestión de los mismos. En este sentido la Ley 22/2011, </w:t>
            </w:r>
            <w:r w:rsidRPr="00212ACB">
              <w:rPr>
                <w:rFonts w:ascii="Arial" w:hAnsi="Arial" w:cs="Arial"/>
                <w:bCs/>
                <w:color w:val="00003A"/>
                <w:sz w:val="22"/>
                <w:szCs w:val="22"/>
              </w:rPr>
              <w:t>de 28 de julio, de residuos y suelos contaminados</w:t>
            </w:r>
            <w:r>
              <w:rPr>
                <w:rFonts w:ascii="Arial" w:hAnsi="Arial" w:cs="Arial"/>
                <w:bCs/>
                <w:color w:val="00003A"/>
                <w:sz w:val="22"/>
                <w:szCs w:val="22"/>
              </w:rPr>
              <w:t xml:space="preserve">, desarrolla el mandato en su artículo 24 disponiendo que las autoridades ambientales </w:t>
            </w:r>
            <w:proofErr w:type="gramStart"/>
            <w:r w:rsidR="006B1A61">
              <w:rPr>
                <w:rFonts w:ascii="Arial" w:hAnsi="Arial" w:cs="Arial"/>
                <w:bCs/>
                <w:color w:val="00003A"/>
                <w:sz w:val="22"/>
                <w:szCs w:val="22"/>
              </w:rPr>
              <w:t>fomentarán</w:t>
            </w:r>
            <w:proofErr w:type="gramEnd"/>
            <w:r w:rsidR="006B1A61">
              <w:rPr>
                <w:rFonts w:ascii="Arial" w:hAnsi="Arial" w:cs="Arial"/>
                <w:bCs/>
                <w:color w:val="00003A"/>
                <w:sz w:val="22"/>
                <w:szCs w:val="22"/>
              </w:rPr>
              <w:t xml:space="preserve"> el compostaje doméstico y comunitario a través de planes y programas de gestión de residuos. Así, el Plan de Prevención y Gestión de Residuos de la CAPV 2020 incorporó como objetivo específico el impulso del </w:t>
            </w:r>
            <w:proofErr w:type="spellStart"/>
            <w:r w:rsidR="006B1A61">
              <w:rPr>
                <w:rFonts w:ascii="Arial" w:hAnsi="Arial" w:cs="Arial"/>
                <w:bCs/>
                <w:color w:val="00003A"/>
                <w:sz w:val="22"/>
                <w:szCs w:val="22"/>
              </w:rPr>
              <w:t>autocompostaje</w:t>
            </w:r>
            <w:proofErr w:type="spellEnd"/>
            <w:r w:rsidR="006B1A61">
              <w:rPr>
                <w:rFonts w:ascii="Arial" w:hAnsi="Arial" w:cs="Arial"/>
                <w:bCs/>
                <w:color w:val="00003A"/>
                <w:sz w:val="22"/>
                <w:szCs w:val="22"/>
              </w:rPr>
              <w:t xml:space="preserve"> en zonas rurales y el compostaje comunitario en zonas residenciales de baja densidad. Por </w:t>
            </w:r>
            <w:r w:rsidR="006B1A61">
              <w:rPr>
                <w:rFonts w:ascii="Arial" w:hAnsi="Arial" w:cs="Arial"/>
                <w:bCs/>
                <w:color w:val="00003A"/>
                <w:sz w:val="22"/>
                <w:szCs w:val="22"/>
              </w:rPr>
              <w:lastRenderedPageBreak/>
              <w:t xml:space="preserve">su parte, y en relación con el compostaje comunitario, mediante </w:t>
            </w:r>
            <w:r w:rsidR="003A404C" w:rsidRPr="00F76AE9">
              <w:rPr>
                <w:rFonts w:ascii="Arial" w:hAnsi="Arial" w:cs="Arial"/>
                <w:bCs/>
                <w:color w:val="00003A"/>
                <w:sz w:val="22"/>
                <w:szCs w:val="22"/>
              </w:rPr>
              <w:t xml:space="preserve">la Instrucción 1/2015, de 19 de octubre de 2015, del </w:t>
            </w:r>
            <w:r w:rsidR="00F76AE9">
              <w:rPr>
                <w:rFonts w:ascii="Arial" w:hAnsi="Arial" w:cs="Arial"/>
                <w:bCs/>
                <w:color w:val="00003A"/>
                <w:sz w:val="22"/>
                <w:szCs w:val="22"/>
              </w:rPr>
              <w:t xml:space="preserve">entonces </w:t>
            </w:r>
            <w:proofErr w:type="spellStart"/>
            <w:r w:rsidR="003A404C" w:rsidRPr="00F76AE9">
              <w:rPr>
                <w:rFonts w:ascii="Arial" w:hAnsi="Arial" w:cs="Arial"/>
                <w:bCs/>
                <w:color w:val="00003A"/>
                <w:sz w:val="22"/>
                <w:szCs w:val="22"/>
              </w:rPr>
              <w:t>Viceconsejero</w:t>
            </w:r>
            <w:proofErr w:type="spellEnd"/>
            <w:r w:rsidR="003A404C" w:rsidRPr="00F76AE9">
              <w:rPr>
                <w:rFonts w:ascii="Arial" w:hAnsi="Arial" w:cs="Arial"/>
                <w:bCs/>
                <w:color w:val="00003A"/>
                <w:sz w:val="22"/>
                <w:szCs w:val="22"/>
              </w:rPr>
              <w:t xml:space="preserve"> de Medio Ambiente, </w:t>
            </w:r>
            <w:r w:rsidR="006B1A61">
              <w:rPr>
                <w:rFonts w:ascii="Arial" w:hAnsi="Arial" w:cs="Arial"/>
                <w:bCs/>
                <w:color w:val="00003A"/>
                <w:sz w:val="22"/>
                <w:szCs w:val="22"/>
              </w:rPr>
              <w:t xml:space="preserve">se regularon los </w:t>
            </w:r>
            <w:r w:rsidR="003A404C" w:rsidRPr="00F76AE9">
              <w:rPr>
                <w:rFonts w:ascii="Arial" w:hAnsi="Arial" w:cs="Arial"/>
                <w:bCs/>
                <w:color w:val="00003A"/>
                <w:sz w:val="22"/>
                <w:szCs w:val="22"/>
              </w:rPr>
              <w:t>procedimientos administrativos que deben observar las instalaciones de compostaje com</w:t>
            </w:r>
            <w:r w:rsidR="00F76AE9">
              <w:rPr>
                <w:rFonts w:ascii="Arial" w:hAnsi="Arial" w:cs="Arial"/>
                <w:bCs/>
                <w:color w:val="00003A"/>
                <w:sz w:val="22"/>
                <w:szCs w:val="22"/>
              </w:rPr>
              <w:t>u</w:t>
            </w:r>
            <w:r w:rsidR="006B1A61">
              <w:rPr>
                <w:rFonts w:ascii="Arial" w:hAnsi="Arial" w:cs="Arial"/>
                <w:bCs/>
                <w:color w:val="00003A"/>
                <w:sz w:val="22"/>
                <w:szCs w:val="22"/>
              </w:rPr>
              <w:t>nitario en el ámbito de la CAPV</w:t>
            </w:r>
            <w:r w:rsidR="00523193">
              <w:rPr>
                <w:rFonts w:ascii="Arial" w:hAnsi="Arial" w:cs="Arial"/>
                <w:bCs/>
                <w:color w:val="00003A"/>
                <w:sz w:val="22"/>
                <w:szCs w:val="22"/>
              </w:rPr>
              <w:t xml:space="preserve">. </w:t>
            </w:r>
            <w:r w:rsidR="006B1A61">
              <w:rPr>
                <w:rFonts w:ascii="Arial" w:hAnsi="Arial" w:cs="Arial"/>
                <w:bCs/>
                <w:color w:val="00003A"/>
                <w:sz w:val="22"/>
                <w:szCs w:val="22"/>
              </w:rPr>
              <w:t>No obstante, se hace preciso definir</w:t>
            </w:r>
            <w:r w:rsidR="00523193">
              <w:rPr>
                <w:rFonts w:ascii="Arial" w:hAnsi="Arial" w:cs="Arial"/>
                <w:bCs/>
                <w:color w:val="00003A"/>
                <w:sz w:val="22"/>
                <w:szCs w:val="22"/>
              </w:rPr>
              <w:t xml:space="preserve"> tanto el compostaje doméstico como el comunitario y establecer unas</w:t>
            </w:r>
            <w:r w:rsidR="00F76AE9" w:rsidRPr="00F76AE9">
              <w:rPr>
                <w:rFonts w:ascii="Arial" w:hAnsi="Arial" w:cs="Arial"/>
                <w:bCs/>
                <w:color w:val="00003A"/>
                <w:sz w:val="22"/>
                <w:szCs w:val="22"/>
              </w:rPr>
              <w:t xml:space="preserve"> condiciones técnicas que </w:t>
            </w:r>
            <w:r w:rsidR="006B1A61">
              <w:rPr>
                <w:rFonts w:ascii="Arial" w:hAnsi="Arial" w:cs="Arial"/>
                <w:bCs/>
                <w:color w:val="00003A"/>
                <w:sz w:val="22"/>
                <w:szCs w:val="22"/>
              </w:rPr>
              <w:t>habrán</w:t>
            </w:r>
            <w:r w:rsidR="00523193">
              <w:rPr>
                <w:rFonts w:ascii="Arial" w:hAnsi="Arial" w:cs="Arial"/>
                <w:bCs/>
                <w:color w:val="00003A"/>
                <w:sz w:val="22"/>
                <w:szCs w:val="22"/>
              </w:rPr>
              <w:t xml:space="preserve"> de</w:t>
            </w:r>
            <w:r w:rsidR="00F76AE9" w:rsidRPr="00F76AE9">
              <w:rPr>
                <w:rFonts w:ascii="Arial" w:hAnsi="Arial" w:cs="Arial"/>
                <w:bCs/>
                <w:color w:val="00003A"/>
                <w:sz w:val="22"/>
                <w:szCs w:val="22"/>
              </w:rPr>
              <w:t xml:space="preserve"> cumplir las instalaciones para poder ser consideradas actividades de prevención en sentido amplio</w:t>
            </w:r>
            <w:r w:rsidR="006B1A61">
              <w:rPr>
                <w:rFonts w:ascii="Arial" w:hAnsi="Arial" w:cs="Arial"/>
                <w:bCs/>
                <w:color w:val="00003A"/>
                <w:sz w:val="22"/>
                <w:szCs w:val="22"/>
              </w:rPr>
              <w:t>.</w:t>
            </w:r>
          </w:p>
        </w:tc>
      </w:tr>
      <w:tr w:rsidR="00DB0BC9" w:rsidTr="003A404C">
        <w:tc>
          <w:tcPr>
            <w:tcW w:w="2660" w:type="dxa"/>
          </w:tcPr>
          <w:p w:rsidR="00523193" w:rsidRDefault="00523193" w:rsidP="00DB0BC9">
            <w:pPr>
              <w:autoSpaceDE w:val="0"/>
              <w:autoSpaceDN w:val="0"/>
              <w:adjustRightInd w:val="0"/>
              <w:spacing w:line="360" w:lineRule="auto"/>
              <w:jc w:val="both"/>
              <w:rPr>
                <w:rFonts w:ascii="Arial" w:hAnsi="Arial" w:cs="Arial"/>
                <w:b/>
                <w:bCs/>
                <w:color w:val="00003A"/>
                <w:sz w:val="22"/>
                <w:szCs w:val="22"/>
              </w:rPr>
            </w:pPr>
          </w:p>
          <w:p w:rsidR="00523193" w:rsidRDefault="00523193" w:rsidP="00DB0BC9">
            <w:pPr>
              <w:autoSpaceDE w:val="0"/>
              <w:autoSpaceDN w:val="0"/>
              <w:adjustRightInd w:val="0"/>
              <w:spacing w:line="360" w:lineRule="auto"/>
              <w:jc w:val="both"/>
              <w:rPr>
                <w:rFonts w:ascii="Arial" w:hAnsi="Arial" w:cs="Arial"/>
                <w:b/>
                <w:bCs/>
                <w:color w:val="00003A"/>
                <w:sz w:val="22"/>
                <w:szCs w:val="22"/>
              </w:rPr>
            </w:pPr>
          </w:p>
          <w:p w:rsidR="00DB0BC9" w:rsidRPr="00DB0BC9" w:rsidRDefault="00DB0BC9" w:rsidP="00523193">
            <w:pPr>
              <w:autoSpaceDE w:val="0"/>
              <w:autoSpaceDN w:val="0"/>
              <w:adjustRightInd w:val="0"/>
              <w:rPr>
                <w:rFonts w:ascii="Arial" w:hAnsi="Arial" w:cs="Arial"/>
                <w:b/>
                <w:sz w:val="22"/>
                <w:szCs w:val="22"/>
              </w:rPr>
            </w:pPr>
            <w:r w:rsidRPr="00523193">
              <w:rPr>
                <w:rFonts w:ascii="Arial" w:hAnsi="Arial" w:cs="Arial"/>
                <w:b/>
                <w:bCs/>
                <w:color w:val="00003A"/>
                <w:sz w:val="22"/>
                <w:szCs w:val="22"/>
              </w:rPr>
              <w:t>LOS OBJETIVOS DE LA NORMA</w:t>
            </w:r>
          </w:p>
        </w:tc>
        <w:tc>
          <w:tcPr>
            <w:tcW w:w="5985" w:type="dxa"/>
          </w:tcPr>
          <w:p w:rsidR="00DB0BC9" w:rsidRDefault="00F76AE9" w:rsidP="00BE15C5">
            <w:pPr>
              <w:pStyle w:val="parrafo1"/>
              <w:ind w:firstLine="0"/>
              <w:rPr>
                <w:rFonts w:ascii="Arial" w:hAnsi="Arial" w:cs="Arial"/>
                <w:sz w:val="22"/>
                <w:szCs w:val="22"/>
              </w:rPr>
            </w:pPr>
            <w:r w:rsidRPr="00F76AE9">
              <w:rPr>
                <w:rFonts w:ascii="Arial" w:hAnsi="Arial" w:cs="Arial"/>
                <w:sz w:val="22"/>
                <w:szCs w:val="22"/>
              </w:rPr>
              <w:t>El objeto de</w:t>
            </w:r>
            <w:r w:rsidR="00523193">
              <w:rPr>
                <w:rFonts w:ascii="Arial" w:hAnsi="Arial" w:cs="Arial"/>
                <w:sz w:val="22"/>
                <w:szCs w:val="22"/>
              </w:rPr>
              <w:t>l Proyecto</w:t>
            </w:r>
            <w:r w:rsidR="002F3F41">
              <w:rPr>
                <w:rFonts w:ascii="Arial" w:hAnsi="Arial" w:cs="Arial"/>
                <w:sz w:val="22"/>
                <w:szCs w:val="22"/>
              </w:rPr>
              <w:t xml:space="preserve"> de</w:t>
            </w:r>
            <w:bookmarkStart w:id="0" w:name="_GoBack"/>
            <w:bookmarkEnd w:id="0"/>
            <w:r w:rsidR="00523193">
              <w:rPr>
                <w:rFonts w:ascii="Arial" w:hAnsi="Arial" w:cs="Arial"/>
                <w:sz w:val="22"/>
                <w:szCs w:val="22"/>
              </w:rPr>
              <w:t xml:space="preserve"> Orden es </w:t>
            </w:r>
            <w:r w:rsidR="00BE15C5">
              <w:rPr>
                <w:rFonts w:ascii="Arial" w:hAnsi="Arial" w:cs="Arial"/>
                <w:sz w:val="22"/>
                <w:szCs w:val="22"/>
              </w:rPr>
              <w:t>regular</w:t>
            </w:r>
            <w:r w:rsidRPr="00F76AE9">
              <w:rPr>
                <w:rFonts w:ascii="Arial" w:hAnsi="Arial" w:cs="Arial"/>
                <w:sz w:val="22"/>
                <w:szCs w:val="22"/>
              </w:rPr>
              <w:t xml:space="preserve"> las </w:t>
            </w:r>
            <w:r w:rsidR="00BE15C5">
              <w:rPr>
                <w:rFonts w:ascii="Arial" w:hAnsi="Arial" w:cs="Arial"/>
                <w:sz w:val="22"/>
                <w:szCs w:val="22"/>
              </w:rPr>
              <w:t>instalaciones</w:t>
            </w:r>
            <w:r w:rsidRPr="00F76AE9">
              <w:rPr>
                <w:rFonts w:ascii="Arial" w:hAnsi="Arial" w:cs="Arial"/>
                <w:sz w:val="22"/>
                <w:szCs w:val="22"/>
              </w:rPr>
              <w:t xml:space="preserve"> de compostaje de cercanía en la Comunidad Autónoma del País Vasco con el fin último de proteger la salud de las personas, prevenir la contaminación del suelo, la vegetación, los animales y los seres humanos.</w:t>
            </w:r>
            <w:r>
              <w:rPr>
                <w:rFonts w:ascii="Arial" w:hAnsi="Arial" w:cs="Arial"/>
                <w:sz w:val="22"/>
                <w:szCs w:val="22"/>
              </w:rPr>
              <w:t xml:space="preserve"> </w:t>
            </w:r>
          </w:p>
        </w:tc>
      </w:tr>
      <w:tr w:rsidR="00DB0BC9" w:rsidTr="00523193">
        <w:trPr>
          <w:trHeight w:val="1311"/>
        </w:trPr>
        <w:tc>
          <w:tcPr>
            <w:tcW w:w="2660" w:type="dxa"/>
          </w:tcPr>
          <w:p w:rsidR="00E52DB9" w:rsidRDefault="00E52DB9" w:rsidP="00DB0BC9">
            <w:pPr>
              <w:autoSpaceDE w:val="0"/>
              <w:autoSpaceDN w:val="0"/>
              <w:adjustRightInd w:val="0"/>
              <w:rPr>
                <w:rFonts w:ascii="Arial" w:hAnsi="Arial" w:cs="Arial"/>
                <w:b/>
                <w:bCs/>
                <w:color w:val="00003A"/>
                <w:sz w:val="22"/>
                <w:szCs w:val="22"/>
              </w:rPr>
            </w:pPr>
          </w:p>
          <w:p w:rsidR="00DB0BC9" w:rsidRPr="00DB0BC9" w:rsidRDefault="00DB0BC9" w:rsidP="00DB0BC9">
            <w:pPr>
              <w:autoSpaceDE w:val="0"/>
              <w:autoSpaceDN w:val="0"/>
              <w:adjustRightInd w:val="0"/>
              <w:rPr>
                <w:rFonts w:ascii="Arial" w:hAnsi="Arial" w:cs="Arial"/>
                <w:b/>
                <w:sz w:val="22"/>
                <w:szCs w:val="22"/>
              </w:rPr>
            </w:pPr>
            <w:r w:rsidRPr="00DB0BC9">
              <w:rPr>
                <w:rFonts w:ascii="Arial" w:hAnsi="Arial" w:cs="Arial"/>
                <w:b/>
                <w:bCs/>
                <w:color w:val="00003A"/>
                <w:sz w:val="22"/>
                <w:szCs w:val="22"/>
              </w:rPr>
              <w:t>LAS POSIBLES SOLUCIONES ALTERNATIVAS REGULATORIAS Y NO REGULATORIAS</w:t>
            </w:r>
          </w:p>
        </w:tc>
        <w:tc>
          <w:tcPr>
            <w:tcW w:w="5985" w:type="dxa"/>
          </w:tcPr>
          <w:p w:rsidR="00DB0BC9" w:rsidRDefault="00523193" w:rsidP="00523193">
            <w:pPr>
              <w:pStyle w:val="parrafo1"/>
              <w:ind w:firstLine="0"/>
              <w:rPr>
                <w:rFonts w:ascii="Arial" w:hAnsi="Arial" w:cs="Arial"/>
                <w:sz w:val="22"/>
                <w:szCs w:val="22"/>
              </w:rPr>
            </w:pPr>
            <w:r w:rsidRPr="00523193">
              <w:rPr>
                <w:rFonts w:ascii="Arial" w:hAnsi="Arial" w:cs="Arial"/>
                <w:sz w:val="22"/>
                <w:szCs w:val="22"/>
              </w:rPr>
              <w:t>Dadas las circunstancias expuestas en los apartados precedentes, la elaboración de una medida específica de carácter normativo se presenta como inexcusable, sin que puedan contemplarse otras soluciones alternativas</w:t>
            </w:r>
            <w:r w:rsidR="006B1A61">
              <w:rPr>
                <w:rFonts w:ascii="Arial" w:hAnsi="Arial" w:cs="Arial"/>
                <w:sz w:val="22"/>
                <w:szCs w:val="22"/>
              </w:rPr>
              <w:t xml:space="preserve"> dada la falta de regulación existente.</w:t>
            </w:r>
          </w:p>
        </w:tc>
      </w:tr>
    </w:tbl>
    <w:p w:rsidR="00DB0BC9" w:rsidRPr="00DB0BC9" w:rsidRDefault="00DB0BC9" w:rsidP="00DB0BC9">
      <w:pPr>
        <w:autoSpaceDE w:val="0"/>
        <w:autoSpaceDN w:val="0"/>
        <w:adjustRightInd w:val="0"/>
        <w:spacing w:line="360" w:lineRule="auto"/>
        <w:jc w:val="both"/>
        <w:rPr>
          <w:rFonts w:ascii="Arial" w:hAnsi="Arial" w:cs="Arial"/>
          <w:sz w:val="22"/>
          <w:szCs w:val="22"/>
        </w:rPr>
      </w:pPr>
    </w:p>
    <w:sectPr w:rsidR="00DB0BC9" w:rsidRPr="00DB0BC9">
      <w:headerReference w:type="even" r:id="rId8"/>
      <w:headerReference w:type="default" r:id="rId9"/>
      <w:footerReference w:type="even" r:id="rId10"/>
      <w:footerReference w:type="default" r:id="rId11"/>
      <w:headerReference w:type="first" r:id="rId12"/>
      <w:footerReference w:type="first" r:id="rId13"/>
      <w:pgSz w:w="11907" w:h="16840"/>
      <w:pgMar w:top="1418" w:right="1701" w:bottom="1418" w:left="1701" w:header="720" w:footer="8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BC9" w:rsidRDefault="00DB0BC9">
      <w:r>
        <w:separator/>
      </w:r>
    </w:p>
  </w:endnote>
  <w:endnote w:type="continuationSeparator" w:id="0">
    <w:p w:rsidR="00DB0BC9" w:rsidRDefault="00DB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967" w:rsidRDefault="003B096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967" w:rsidRDefault="003B096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43C" w:rsidRPr="00C5743C" w:rsidRDefault="00C5743C">
    <w:pPr>
      <w:pStyle w:val="Piedepgina"/>
      <w:jc w:val="center"/>
      <w:rPr>
        <w:rFonts w:ascii="Arial" w:hAnsi="Arial"/>
        <w:sz w:val="13"/>
        <w:lang w:val="it-IT"/>
      </w:rPr>
    </w:pPr>
    <w:r w:rsidRPr="00C5743C">
      <w:rPr>
        <w:rFonts w:ascii="Arial" w:hAnsi="Arial"/>
        <w:sz w:val="13"/>
        <w:lang w:val="it-IT"/>
      </w:rPr>
      <w:t>Donostia – San</w:t>
    </w:r>
    <w:r w:rsidR="00915860">
      <w:rPr>
        <w:rFonts w:ascii="Arial" w:hAnsi="Arial"/>
        <w:sz w:val="13"/>
        <w:lang w:val="it-IT"/>
      </w:rPr>
      <w:t xml:space="preserve"> Sebastián, 1 – Tef. 945 01 96 3</w:t>
    </w:r>
    <w:r w:rsidRPr="00C5743C">
      <w:rPr>
        <w:rFonts w:ascii="Arial" w:hAnsi="Arial"/>
        <w:sz w:val="13"/>
        <w:lang w:val="it-IT"/>
      </w:rPr>
      <w:t>1 – Fax 945 01 98 56 – 01010 Vitoria-Gasteiz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BC9" w:rsidRDefault="00DB0BC9">
      <w:r>
        <w:separator/>
      </w:r>
    </w:p>
  </w:footnote>
  <w:footnote w:type="continuationSeparator" w:id="0">
    <w:p w:rsidR="00DB0BC9" w:rsidRDefault="00DB0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967" w:rsidRDefault="003B096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43C" w:rsidRDefault="00C5743C">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6pt;height:24pt" o:ole="" fillcolor="window">
          <v:imagedata r:id="rId1" o:title=""/>
        </v:shape>
        <o:OLEObject Type="Embed" ProgID="MSPhotoEd.3" ShapeID="_x0000_i1025" DrawAspect="Content" ObjectID="_1576908948" r:id="rId2"/>
      </w:object>
    </w:r>
  </w:p>
  <w:p w:rsidR="00C5743C" w:rsidRDefault="00C5743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43C" w:rsidRDefault="006B1A61">
    <w:pPr>
      <w:pStyle w:val="Encabezado"/>
      <w:tabs>
        <w:tab w:val="right" w:pos="9923"/>
      </w:tabs>
      <w:ind w:right="-142"/>
      <w:jc w:val="center"/>
      <w:rPr>
        <w:rFonts w:ascii="Arial" w:hAnsi="Arial"/>
        <w:sz w:val="16"/>
      </w:rPr>
    </w:pPr>
    <w:r>
      <w:rPr>
        <w:noProof/>
      </w:rPr>
      <mc:AlternateContent>
        <mc:Choice Requires="wps">
          <w:drawing>
            <wp:anchor distT="0" distB="0" distL="114300" distR="114300" simplePos="0" relativeHeight="251658240" behindDoc="0" locked="0" layoutInCell="1" allowOverlap="1">
              <wp:simplePos x="0" y="0"/>
              <wp:positionH relativeFrom="page">
                <wp:posOffset>1781175</wp:posOffset>
              </wp:positionH>
              <wp:positionV relativeFrom="page">
                <wp:posOffset>900430</wp:posOffset>
              </wp:positionV>
              <wp:extent cx="2002790" cy="63500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F54" w:rsidRDefault="00A26F54" w:rsidP="00A26F54">
                          <w:pPr>
                            <w:pStyle w:val="Ttulo2"/>
                            <w:spacing w:after="35"/>
                          </w:pPr>
                          <w:r>
                            <w:t>INGURUMEN, LURRALDE PLANGINTZA ETA ETXEBIZITZA SAILA</w:t>
                          </w:r>
                        </w:p>
                        <w:p w:rsidR="00A26F54" w:rsidRDefault="00A26F54" w:rsidP="00A26F54">
                          <w:pPr>
                            <w:pStyle w:val="Ttulo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0.25pt;margin-top:70.9pt;width:157.7pt;height:5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" filled="f" stroked="f">
              <v:textbox>
                <w:txbxContent>
                  <w:p w:rsidR="00A26F54" w:rsidRDefault="00A26F54" w:rsidP="00A26F54">
                    <w:pPr>
                      <w:pStyle w:val="Ttulo2"/>
                      <w:spacing w:after="35"/>
                    </w:pPr>
                    <w:r>
                      <w:t>INGURUMEN, LURRALDE PLANGINTZA ETA ETXEBIZITZA SAILA</w:t>
                    </w:r>
                  </w:p>
                  <w:p w:rsidR="00A26F54" w:rsidRDefault="00A26F54" w:rsidP="00A26F54">
                    <w:pPr>
                      <w:pStyle w:val="Ttulo4"/>
                    </w:pPr>
                  </w:p>
                </w:txbxContent>
              </v:textbox>
              <w10:wrap type="square" anchorx="page"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4124325</wp:posOffset>
              </wp:positionH>
              <wp:positionV relativeFrom="page">
                <wp:posOffset>900430</wp:posOffset>
              </wp:positionV>
              <wp:extent cx="2105025" cy="50419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F54" w:rsidRDefault="00A26F54" w:rsidP="00A26F54">
                          <w:pPr>
                            <w:pStyle w:val="Ttulo2"/>
                            <w:spacing w:after="35"/>
                          </w:pPr>
                          <w:r>
                            <w:t>DEPARTAMENTO DE MEDIO AMBIENTE,</w:t>
                          </w:r>
                          <w:r>
                            <w:br/>
                            <w:t>PLANIFICACIÓN TERRITORIAL Y VIVIENDA</w:t>
                          </w:r>
                        </w:p>
                        <w:p w:rsidR="00A26F54" w:rsidRDefault="00A26F54" w:rsidP="00A26F54">
                          <w:pPr>
                            <w:pStyle w:val="Ttulo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24.75pt;margin-top:70.9pt;width:165.75pt;height:39.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F02twIAAMA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" filled="f" stroked="f">
              <v:textbox>
                <w:txbxContent>
                  <w:p w:rsidR="00A26F54" w:rsidRDefault="00A26F54" w:rsidP="00A26F54">
                    <w:pPr>
                      <w:pStyle w:val="Ttulo2"/>
                      <w:spacing w:after="35"/>
                    </w:pPr>
                    <w:r>
                      <w:t>DEPARTAMENTO DE MEDIO AMBIENTE,</w:t>
                    </w:r>
                    <w:r>
                      <w:br/>
                      <w:t>PLANIFICACIÓN TERRITORIAL Y VIVIENDA</w:t>
                    </w:r>
                  </w:p>
                  <w:p w:rsidR="00A26F54" w:rsidRDefault="00A26F54" w:rsidP="00A26F54">
                    <w:pPr>
                      <w:pStyle w:val="Ttulo4"/>
                    </w:pPr>
                  </w:p>
                </w:txbxContent>
              </v:textbox>
              <w10:wrap type="square" anchorx="page" anchory="page"/>
            </v:shape>
          </w:pict>
        </mc:Fallback>
      </mc:AlternateContent>
    </w:r>
    <w:r w:rsidR="00C5743C">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6pt;height:36.6pt" o:ole="" fillcolor="window">
          <v:imagedata r:id="rId1" o:title=""/>
        </v:shape>
        <o:OLEObject Type="Embed" ProgID="MSPhotoEd.3" ShapeID="_x0000_i1026" DrawAspect="Content" ObjectID="_1576908949" r:id="rId2"/>
      </w:object>
    </w:r>
  </w:p>
  <w:p w:rsidR="00C5743C" w:rsidRDefault="00C5743C">
    <w:pPr>
      <w:pStyle w:val="Encabezado"/>
      <w:tabs>
        <w:tab w:val="right" w:pos="9923"/>
      </w:tabs>
      <w:ind w:right="-142"/>
      <w:jc w:val="center"/>
      <w:rPr>
        <w:rFonts w:ascii="Arial" w:hAnsi="Arial"/>
        <w:sz w:val="16"/>
      </w:rPr>
    </w:pPr>
  </w:p>
  <w:p w:rsidR="00C5743C" w:rsidRDefault="00C5743C">
    <w:pPr>
      <w:pStyle w:val="Encabezado"/>
      <w:tabs>
        <w:tab w:val="right" w:pos="9923"/>
      </w:tabs>
      <w:ind w:right="-142"/>
      <w:jc w:val="center"/>
      <w:rPr>
        <w:rFonts w:ascii="Arial" w:hAnsi="Arial"/>
        <w:sz w:val="16"/>
      </w:rPr>
    </w:pPr>
  </w:p>
  <w:p w:rsidR="00C5743C" w:rsidRDefault="00C5743C">
    <w:pPr>
      <w:pStyle w:val="Encabezado"/>
      <w:tabs>
        <w:tab w:val="right" w:pos="9923"/>
      </w:tabs>
      <w:ind w:right="-142"/>
      <w:jc w:val="center"/>
      <w:rPr>
        <w:rFonts w:ascii="Arial" w:hAnsi="Arial"/>
        <w:sz w:val="16"/>
      </w:rPr>
    </w:pPr>
  </w:p>
  <w:p w:rsidR="00C5743C" w:rsidRDefault="00C5743C">
    <w:pPr>
      <w:pStyle w:val="Encabezado"/>
      <w:tabs>
        <w:tab w:val="right" w:pos="9923"/>
      </w:tabs>
      <w:ind w:right="-142"/>
      <w:jc w:val="center"/>
      <w:rPr>
        <w:rFonts w:ascii="Arial" w:hAnsi="Arial"/>
        <w:sz w:val="16"/>
      </w:rPr>
    </w:pPr>
  </w:p>
  <w:p w:rsidR="00C5743C" w:rsidRDefault="00C5743C">
    <w:pPr>
      <w:pStyle w:val="Encabezado"/>
      <w:tabs>
        <w:tab w:val="right" w:pos="9923"/>
      </w:tabs>
      <w:ind w:right="-142"/>
      <w:jc w:val="center"/>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D0ECA"/>
    <w:multiLevelType w:val="hybridMultilevel"/>
    <w:tmpl w:val="064850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BC9"/>
    <w:rsid w:val="000426F2"/>
    <w:rsid w:val="00045AED"/>
    <w:rsid w:val="000934E0"/>
    <w:rsid w:val="00094EF5"/>
    <w:rsid w:val="00104873"/>
    <w:rsid w:val="001319CB"/>
    <w:rsid w:val="001739E9"/>
    <w:rsid w:val="001F794C"/>
    <w:rsid w:val="00210166"/>
    <w:rsid w:val="00212ACB"/>
    <w:rsid w:val="002932E3"/>
    <w:rsid w:val="00294EE0"/>
    <w:rsid w:val="002D7662"/>
    <w:rsid w:val="002F2942"/>
    <w:rsid w:val="002F3F41"/>
    <w:rsid w:val="00304BC1"/>
    <w:rsid w:val="003522F8"/>
    <w:rsid w:val="00384418"/>
    <w:rsid w:val="003A08A5"/>
    <w:rsid w:val="003A404C"/>
    <w:rsid w:val="003B0967"/>
    <w:rsid w:val="003C2063"/>
    <w:rsid w:val="003C3AC4"/>
    <w:rsid w:val="003D6AE1"/>
    <w:rsid w:val="0043681E"/>
    <w:rsid w:val="00523193"/>
    <w:rsid w:val="0056575A"/>
    <w:rsid w:val="00572A1F"/>
    <w:rsid w:val="00573683"/>
    <w:rsid w:val="00575F4D"/>
    <w:rsid w:val="005F64A6"/>
    <w:rsid w:val="0063659C"/>
    <w:rsid w:val="00667D1F"/>
    <w:rsid w:val="00675C1E"/>
    <w:rsid w:val="00676866"/>
    <w:rsid w:val="006915D2"/>
    <w:rsid w:val="006963BA"/>
    <w:rsid w:val="006B1A61"/>
    <w:rsid w:val="006F39ED"/>
    <w:rsid w:val="007A52BA"/>
    <w:rsid w:val="007E2B30"/>
    <w:rsid w:val="00860D91"/>
    <w:rsid w:val="008D29A4"/>
    <w:rsid w:val="008E4B64"/>
    <w:rsid w:val="00915860"/>
    <w:rsid w:val="00996F86"/>
    <w:rsid w:val="009D2C39"/>
    <w:rsid w:val="00A245E5"/>
    <w:rsid w:val="00A26F54"/>
    <w:rsid w:val="00A63FC7"/>
    <w:rsid w:val="00AA6D4C"/>
    <w:rsid w:val="00AC51AC"/>
    <w:rsid w:val="00AE5848"/>
    <w:rsid w:val="00B708CB"/>
    <w:rsid w:val="00B74B15"/>
    <w:rsid w:val="00BE15C5"/>
    <w:rsid w:val="00C0185A"/>
    <w:rsid w:val="00C15EBC"/>
    <w:rsid w:val="00C16242"/>
    <w:rsid w:val="00C20F4E"/>
    <w:rsid w:val="00C27421"/>
    <w:rsid w:val="00C5743C"/>
    <w:rsid w:val="00C66388"/>
    <w:rsid w:val="00CB78EF"/>
    <w:rsid w:val="00DB047B"/>
    <w:rsid w:val="00DB0BC9"/>
    <w:rsid w:val="00DE4F84"/>
    <w:rsid w:val="00DF0C4E"/>
    <w:rsid w:val="00E12993"/>
    <w:rsid w:val="00E24BAB"/>
    <w:rsid w:val="00E52DB9"/>
    <w:rsid w:val="00EA3BF1"/>
    <w:rsid w:val="00EC604F"/>
    <w:rsid w:val="00EE2596"/>
    <w:rsid w:val="00F21726"/>
    <w:rsid w:val="00F2575B"/>
    <w:rsid w:val="00F41613"/>
    <w:rsid w:val="00F76AE9"/>
    <w:rsid w:val="00FE14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743C"/>
    <w:rPr>
      <w:sz w:val="24"/>
      <w:szCs w:val="24"/>
    </w:rPr>
  </w:style>
  <w:style w:type="paragraph" w:styleId="Ttulo2">
    <w:name w:val="heading 2"/>
    <w:basedOn w:val="Normal"/>
    <w:next w:val="Normal"/>
    <w:qFormat/>
    <w:rsid w:val="00C5743C"/>
    <w:pPr>
      <w:keepNext/>
      <w:outlineLvl w:val="1"/>
    </w:pPr>
    <w:rPr>
      <w:rFonts w:ascii="Arial" w:hAnsi="Arial"/>
      <w:b/>
      <w:sz w:val="14"/>
    </w:rPr>
  </w:style>
  <w:style w:type="paragraph" w:styleId="Ttulo4">
    <w:name w:val="heading 4"/>
    <w:basedOn w:val="Normal"/>
    <w:next w:val="Normal"/>
    <w:qFormat/>
    <w:rsid w:val="00C5743C"/>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C5743C"/>
    <w:pPr>
      <w:tabs>
        <w:tab w:val="center" w:pos="4819"/>
        <w:tab w:val="right" w:pos="9071"/>
      </w:tabs>
    </w:pPr>
  </w:style>
  <w:style w:type="paragraph" w:styleId="Encabezado">
    <w:name w:val="header"/>
    <w:basedOn w:val="Normal"/>
    <w:rsid w:val="00C5743C"/>
    <w:pPr>
      <w:tabs>
        <w:tab w:val="center" w:pos="4819"/>
        <w:tab w:val="right" w:pos="9071"/>
      </w:tabs>
    </w:pPr>
  </w:style>
  <w:style w:type="paragraph" w:styleId="Textoindependiente">
    <w:name w:val="Body Text"/>
    <w:basedOn w:val="Normal"/>
    <w:link w:val="TextoindependienteCar"/>
    <w:rsid w:val="000934E0"/>
    <w:rPr>
      <w:rFonts w:ascii="Arial" w:hAnsi="Arial" w:cs="Arial"/>
      <w:sz w:val="19"/>
      <w:szCs w:val="19"/>
      <w:lang w:val="en-US" w:eastAsia="en-US"/>
    </w:rPr>
  </w:style>
  <w:style w:type="character" w:customStyle="1" w:styleId="TextoindependienteCar">
    <w:name w:val="Texto independiente Car"/>
    <w:link w:val="Textoindependiente"/>
    <w:rsid w:val="000934E0"/>
    <w:rPr>
      <w:rFonts w:ascii="Arial" w:hAnsi="Arial" w:cs="Arial"/>
      <w:sz w:val="19"/>
      <w:szCs w:val="19"/>
      <w:lang w:val="en-US" w:eastAsia="en-US"/>
    </w:rPr>
  </w:style>
  <w:style w:type="paragraph" w:styleId="Prrafodelista">
    <w:name w:val="List Paragraph"/>
    <w:basedOn w:val="Normal"/>
    <w:uiPriority w:val="34"/>
    <w:qFormat/>
    <w:rsid w:val="002F2942"/>
    <w:pPr>
      <w:ind w:left="720"/>
      <w:contextualSpacing/>
    </w:pPr>
    <w:rPr>
      <w:lang w:val="eu-ES" w:eastAsia="eu-ES" w:bidi="eu-ES"/>
    </w:rPr>
  </w:style>
  <w:style w:type="paragraph" w:styleId="Textonotaalfinal">
    <w:name w:val="endnote text"/>
    <w:basedOn w:val="Normal"/>
    <w:link w:val="TextonotaalfinalCar"/>
    <w:rsid w:val="002F2942"/>
    <w:rPr>
      <w:sz w:val="20"/>
      <w:szCs w:val="20"/>
    </w:rPr>
  </w:style>
  <w:style w:type="character" w:customStyle="1" w:styleId="TextonotaalfinalCar">
    <w:name w:val="Texto nota al final Car"/>
    <w:basedOn w:val="Fuentedeprrafopredeter"/>
    <w:link w:val="Textonotaalfinal"/>
    <w:rsid w:val="002F2942"/>
  </w:style>
  <w:style w:type="character" w:styleId="Refdenotaalfinal">
    <w:name w:val="endnote reference"/>
    <w:rsid w:val="002F2942"/>
    <w:rPr>
      <w:vertAlign w:val="superscript"/>
    </w:rPr>
  </w:style>
  <w:style w:type="table" w:styleId="Tablaconcuadrcula">
    <w:name w:val="Table Grid"/>
    <w:basedOn w:val="Tablanormal"/>
    <w:rsid w:val="00DB0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0BC9"/>
    <w:pPr>
      <w:autoSpaceDE w:val="0"/>
      <w:autoSpaceDN w:val="0"/>
      <w:adjustRightInd w:val="0"/>
    </w:pPr>
    <w:rPr>
      <w:rFonts w:ascii="Arial" w:hAnsi="Arial" w:cs="Arial"/>
      <w:color w:val="000000"/>
      <w:sz w:val="24"/>
      <w:szCs w:val="24"/>
    </w:rPr>
  </w:style>
  <w:style w:type="paragraph" w:customStyle="1" w:styleId="parrafo1">
    <w:name w:val="parrafo1"/>
    <w:basedOn w:val="Normal"/>
    <w:rsid w:val="00523193"/>
    <w:pPr>
      <w:spacing w:before="180" w:after="180"/>
      <w:ind w:firstLine="360"/>
      <w:jc w:val="both"/>
    </w:pPr>
  </w:style>
  <w:style w:type="paragraph" w:customStyle="1" w:styleId="parrafo22">
    <w:name w:val="parrafo_22"/>
    <w:basedOn w:val="Normal"/>
    <w:rsid w:val="00523193"/>
    <w:pPr>
      <w:spacing w:before="360" w:after="180"/>
      <w:ind w:firstLine="36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743C"/>
    <w:rPr>
      <w:sz w:val="24"/>
      <w:szCs w:val="24"/>
    </w:rPr>
  </w:style>
  <w:style w:type="paragraph" w:styleId="Ttulo2">
    <w:name w:val="heading 2"/>
    <w:basedOn w:val="Normal"/>
    <w:next w:val="Normal"/>
    <w:qFormat/>
    <w:rsid w:val="00C5743C"/>
    <w:pPr>
      <w:keepNext/>
      <w:outlineLvl w:val="1"/>
    </w:pPr>
    <w:rPr>
      <w:rFonts w:ascii="Arial" w:hAnsi="Arial"/>
      <w:b/>
      <w:sz w:val="14"/>
    </w:rPr>
  </w:style>
  <w:style w:type="paragraph" w:styleId="Ttulo4">
    <w:name w:val="heading 4"/>
    <w:basedOn w:val="Normal"/>
    <w:next w:val="Normal"/>
    <w:qFormat/>
    <w:rsid w:val="00C5743C"/>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C5743C"/>
    <w:pPr>
      <w:tabs>
        <w:tab w:val="center" w:pos="4819"/>
        <w:tab w:val="right" w:pos="9071"/>
      </w:tabs>
    </w:pPr>
  </w:style>
  <w:style w:type="paragraph" w:styleId="Encabezado">
    <w:name w:val="header"/>
    <w:basedOn w:val="Normal"/>
    <w:rsid w:val="00C5743C"/>
    <w:pPr>
      <w:tabs>
        <w:tab w:val="center" w:pos="4819"/>
        <w:tab w:val="right" w:pos="9071"/>
      </w:tabs>
    </w:pPr>
  </w:style>
  <w:style w:type="paragraph" w:styleId="Textoindependiente">
    <w:name w:val="Body Text"/>
    <w:basedOn w:val="Normal"/>
    <w:link w:val="TextoindependienteCar"/>
    <w:rsid w:val="000934E0"/>
    <w:rPr>
      <w:rFonts w:ascii="Arial" w:hAnsi="Arial" w:cs="Arial"/>
      <w:sz w:val="19"/>
      <w:szCs w:val="19"/>
      <w:lang w:val="en-US" w:eastAsia="en-US"/>
    </w:rPr>
  </w:style>
  <w:style w:type="character" w:customStyle="1" w:styleId="TextoindependienteCar">
    <w:name w:val="Texto independiente Car"/>
    <w:link w:val="Textoindependiente"/>
    <w:rsid w:val="000934E0"/>
    <w:rPr>
      <w:rFonts w:ascii="Arial" w:hAnsi="Arial" w:cs="Arial"/>
      <w:sz w:val="19"/>
      <w:szCs w:val="19"/>
      <w:lang w:val="en-US" w:eastAsia="en-US"/>
    </w:rPr>
  </w:style>
  <w:style w:type="paragraph" w:styleId="Prrafodelista">
    <w:name w:val="List Paragraph"/>
    <w:basedOn w:val="Normal"/>
    <w:uiPriority w:val="34"/>
    <w:qFormat/>
    <w:rsid w:val="002F2942"/>
    <w:pPr>
      <w:ind w:left="720"/>
      <w:contextualSpacing/>
    </w:pPr>
    <w:rPr>
      <w:lang w:val="eu-ES" w:eastAsia="eu-ES" w:bidi="eu-ES"/>
    </w:rPr>
  </w:style>
  <w:style w:type="paragraph" w:styleId="Textonotaalfinal">
    <w:name w:val="endnote text"/>
    <w:basedOn w:val="Normal"/>
    <w:link w:val="TextonotaalfinalCar"/>
    <w:rsid w:val="002F2942"/>
    <w:rPr>
      <w:sz w:val="20"/>
      <w:szCs w:val="20"/>
    </w:rPr>
  </w:style>
  <w:style w:type="character" w:customStyle="1" w:styleId="TextonotaalfinalCar">
    <w:name w:val="Texto nota al final Car"/>
    <w:basedOn w:val="Fuentedeprrafopredeter"/>
    <w:link w:val="Textonotaalfinal"/>
    <w:rsid w:val="002F2942"/>
  </w:style>
  <w:style w:type="character" w:styleId="Refdenotaalfinal">
    <w:name w:val="endnote reference"/>
    <w:rsid w:val="002F2942"/>
    <w:rPr>
      <w:vertAlign w:val="superscript"/>
    </w:rPr>
  </w:style>
  <w:style w:type="table" w:styleId="Tablaconcuadrcula">
    <w:name w:val="Table Grid"/>
    <w:basedOn w:val="Tablanormal"/>
    <w:rsid w:val="00DB0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0BC9"/>
    <w:pPr>
      <w:autoSpaceDE w:val="0"/>
      <w:autoSpaceDN w:val="0"/>
      <w:adjustRightInd w:val="0"/>
    </w:pPr>
    <w:rPr>
      <w:rFonts w:ascii="Arial" w:hAnsi="Arial" w:cs="Arial"/>
      <w:color w:val="000000"/>
      <w:sz w:val="24"/>
      <w:szCs w:val="24"/>
    </w:rPr>
  </w:style>
  <w:style w:type="paragraph" w:customStyle="1" w:styleId="parrafo1">
    <w:name w:val="parrafo1"/>
    <w:basedOn w:val="Normal"/>
    <w:rsid w:val="00523193"/>
    <w:pPr>
      <w:spacing w:before="180" w:after="180"/>
      <w:ind w:firstLine="360"/>
      <w:jc w:val="both"/>
    </w:pPr>
  </w:style>
  <w:style w:type="paragraph" w:customStyle="1" w:styleId="parrafo22">
    <w:name w:val="parrafo_22"/>
    <w:basedOn w:val="Normal"/>
    <w:rsid w:val="00523193"/>
    <w:pPr>
      <w:spacing w:before="360" w:after="180"/>
      <w:ind w:firstLine="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64434">
      <w:bodyDiv w:val="1"/>
      <w:marLeft w:val="0"/>
      <w:marRight w:val="0"/>
      <w:marTop w:val="0"/>
      <w:marBottom w:val="0"/>
      <w:divBdr>
        <w:top w:val="none" w:sz="0" w:space="0" w:color="auto"/>
        <w:left w:val="none" w:sz="0" w:space="0" w:color="auto"/>
        <w:bottom w:val="none" w:sz="0" w:space="0" w:color="auto"/>
        <w:right w:val="none" w:sz="0" w:space="0" w:color="auto"/>
      </w:divBdr>
      <w:divsChild>
        <w:div w:id="1125150602">
          <w:marLeft w:val="0"/>
          <w:marRight w:val="0"/>
          <w:marTop w:val="720"/>
          <w:marBottom w:val="720"/>
          <w:divBdr>
            <w:top w:val="none" w:sz="0" w:space="0" w:color="auto"/>
            <w:left w:val="none" w:sz="0" w:space="0" w:color="auto"/>
            <w:bottom w:val="none" w:sz="0" w:space="0" w:color="auto"/>
            <w:right w:val="none" w:sz="0" w:space="0" w:color="auto"/>
          </w:divBdr>
          <w:divsChild>
            <w:div w:id="307904224">
              <w:marLeft w:val="0"/>
              <w:marRight w:val="0"/>
              <w:marTop w:val="0"/>
              <w:marBottom w:val="0"/>
              <w:divBdr>
                <w:top w:val="none" w:sz="0" w:space="0" w:color="auto"/>
                <w:left w:val="none" w:sz="0" w:space="0" w:color="auto"/>
                <w:bottom w:val="none" w:sz="0" w:space="0" w:color="auto"/>
                <w:right w:val="none" w:sz="0" w:space="0" w:color="auto"/>
              </w:divBdr>
              <w:divsChild>
                <w:div w:id="1279752047">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mgutirod\AppData\Roaming\Microsoft\Plantillas\Plantilla%20Departamen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Departamento.dot</Template>
  <TotalTime>62</TotalTime>
  <Pages>2</Pages>
  <Words>521</Words>
  <Characters>2929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Gutiérrez Rodríguez, Marisol</dc:creator>
  <cp:lastModifiedBy>Gutiérrez Rodríguez, Marisol</cp:lastModifiedBy>
  <cp:revision>3</cp:revision>
  <cp:lastPrinted>2017-12-20T12:16:00Z</cp:lastPrinted>
  <dcterms:created xsi:type="dcterms:W3CDTF">2017-12-13T11:22:00Z</dcterms:created>
  <dcterms:modified xsi:type="dcterms:W3CDTF">2018-01-08T08:29:00Z</dcterms:modified>
</cp:coreProperties>
</file>